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adjustRightInd w:val="0"/>
        <w:snapToGrid w:val="0"/>
        <w:spacing w:line="360" w:lineRule="auto"/>
        <w:rPr>
          <w:sz w:val="24"/>
        </w:rPr>
      </w:pPr>
      <w:bookmarkStart w:id="0" w:name="_Toc453098777"/>
      <w:bookmarkStart w:id="1" w:name="_Toc212266410"/>
      <w:bookmarkStart w:id="2" w:name="_Toc12290"/>
      <w:r>
        <w:rPr>
          <w:rFonts w:hint="eastAsia"/>
        </w:rPr>
        <w:t>第二部分  供应商须知</w:t>
      </w:r>
      <w:bookmarkEnd w:id="0"/>
      <w:bookmarkEnd w:id="1"/>
      <w:bookmarkEnd w:id="2"/>
    </w:p>
    <w:p>
      <w:pPr>
        <w:pStyle w:val="11"/>
        <w:spacing w:line="360" w:lineRule="auto"/>
        <w:jc w:val="center"/>
        <w:rPr>
          <w:b/>
          <w:sz w:val="24"/>
        </w:rPr>
      </w:pPr>
    </w:p>
    <w:p>
      <w:pPr>
        <w:pStyle w:val="11"/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A</w:t>
      </w:r>
      <w:r>
        <w:rPr>
          <w:rFonts w:hint="eastAsia"/>
          <w:b/>
          <w:sz w:val="24"/>
        </w:rPr>
        <w:t xml:space="preserve"> 供应商</w:t>
      </w:r>
    </w:p>
    <w:p>
      <w:pPr>
        <w:pStyle w:val="11"/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1、合格供应商的范围</w:t>
      </w:r>
    </w:p>
    <w:p>
      <w:pPr>
        <w:pStyle w:val="11"/>
        <w:spacing w:line="360" w:lineRule="auto"/>
        <w:ind w:firstLine="480" w:firstLineChars="200"/>
        <w:rPr>
          <w:bCs/>
          <w:sz w:val="24"/>
        </w:rPr>
      </w:pPr>
      <w:r>
        <w:rPr>
          <w:bCs/>
          <w:sz w:val="24"/>
        </w:rPr>
        <w:t>1</w:t>
      </w:r>
      <w:r>
        <w:rPr>
          <w:rFonts w:hint="eastAsia"/>
          <w:bCs/>
          <w:sz w:val="24"/>
        </w:rPr>
        <w:t>．1具有独立承担民事责任的能力；</w:t>
      </w:r>
    </w:p>
    <w:p>
      <w:pPr>
        <w:pStyle w:val="11"/>
        <w:spacing w:line="360" w:lineRule="auto"/>
        <w:rPr>
          <w:bCs/>
          <w:sz w:val="24"/>
        </w:rPr>
      </w:pPr>
      <w:r>
        <w:rPr>
          <w:rFonts w:hint="eastAsia"/>
          <w:bCs/>
          <w:sz w:val="24"/>
        </w:rPr>
        <w:t xml:space="preserve">    </w:t>
      </w:r>
      <w:r>
        <w:rPr>
          <w:bCs/>
          <w:sz w:val="24"/>
        </w:rPr>
        <w:t>1</w:t>
      </w:r>
      <w:r>
        <w:rPr>
          <w:rFonts w:hint="eastAsia"/>
          <w:bCs/>
          <w:sz w:val="24"/>
        </w:rPr>
        <w:t>．2具有良好的商业信誉和健全的财务会计制度；</w:t>
      </w:r>
    </w:p>
    <w:p>
      <w:pPr>
        <w:pStyle w:val="11"/>
        <w:spacing w:line="360" w:lineRule="auto"/>
        <w:rPr>
          <w:bCs/>
          <w:sz w:val="24"/>
        </w:rPr>
      </w:pPr>
      <w:r>
        <w:rPr>
          <w:rFonts w:hint="eastAsia"/>
          <w:bCs/>
          <w:sz w:val="24"/>
        </w:rPr>
        <w:t xml:space="preserve">    </w:t>
      </w:r>
      <w:r>
        <w:rPr>
          <w:bCs/>
          <w:sz w:val="24"/>
        </w:rPr>
        <w:t>1</w:t>
      </w:r>
      <w:r>
        <w:rPr>
          <w:rFonts w:hint="eastAsia"/>
          <w:bCs/>
          <w:sz w:val="24"/>
        </w:rPr>
        <w:t>．3具有履行合同所必需的设备和专业技术能力；</w:t>
      </w:r>
    </w:p>
    <w:p>
      <w:pPr>
        <w:pStyle w:val="11"/>
        <w:spacing w:line="360" w:lineRule="auto"/>
        <w:rPr>
          <w:bCs/>
          <w:sz w:val="24"/>
        </w:rPr>
      </w:pPr>
      <w:r>
        <w:rPr>
          <w:rFonts w:hint="eastAsia"/>
          <w:bCs/>
          <w:sz w:val="24"/>
        </w:rPr>
        <w:t xml:space="preserve">    </w:t>
      </w:r>
      <w:r>
        <w:rPr>
          <w:bCs/>
          <w:sz w:val="24"/>
        </w:rPr>
        <w:t>1</w:t>
      </w:r>
      <w:r>
        <w:rPr>
          <w:rFonts w:hint="eastAsia"/>
          <w:bCs/>
          <w:sz w:val="24"/>
        </w:rPr>
        <w:t>．4 有依法缴纳税收和社会保障资金的良好记录；</w:t>
      </w:r>
      <w:r>
        <w:rPr>
          <w:bCs/>
          <w:sz w:val="24"/>
        </w:rPr>
        <w:t xml:space="preserve"> </w:t>
      </w:r>
    </w:p>
    <w:p>
      <w:pPr>
        <w:pStyle w:val="11"/>
        <w:spacing w:line="360" w:lineRule="auto"/>
        <w:rPr>
          <w:bCs/>
          <w:sz w:val="24"/>
        </w:rPr>
      </w:pPr>
      <w:r>
        <w:rPr>
          <w:rFonts w:hint="eastAsia"/>
          <w:bCs/>
          <w:sz w:val="24"/>
        </w:rPr>
        <w:t xml:space="preserve">    </w:t>
      </w:r>
      <w:r>
        <w:rPr>
          <w:bCs/>
          <w:sz w:val="24"/>
        </w:rPr>
        <w:t>1</w:t>
      </w:r>
      <w:r>
        <w:rPr>
          <w:rFonts w:hint="eastAsia"/>
          <w:bCs/>
          <w:sz w:val="24"/>
        </w:rPr>
        <w:t>．</w:t>
      </w:r>
      <w:r>
        <w:rPr>
          <w:bCs/>
          <w:sz w:val="24"/>
        </w:rPr>
        <w:t>5</w:t>
      </w:r>
      <w:r>
        <w:rPr>
          <w:rFonts w:hint="eastAsia"/>
          <w:bCs/>
          <w:sz w:val="24"/>
        </w:rPr>
        <w:t xml:space="preserve"> 具备法律行政法规规定的其他条件；</w:t>
      </w:r>
    </w:p>
    <w:p>
      <w:pPr>
        <w:pStyle w:val="11"/>
        <w:spacing w:line="360" w:lineRule="auto"/>
        <w:rPr>
          <w:bCs/>
          <w:sz w:val="24"/>
        </w:rPr>
      </w:pPr>
      <w:r>
        <w:rPr>
          <w:rFonts w:hint="eastAsia"/>
          <w:bCs/>
          <w:sz w:val="24"/>
        </w:rPr>
        <w:t xml:space="preserve">    </w:t>
      </w:r>
      <w:r>
        <w:rPr>
          <w:bCs/>
          <w:sz w:val="24"/>
        </w:rPr>
        <w:t>1</w:t>
      </w:r>
      <w:r>
        <w:rPr>
          <w:rFonts w:hint="eastAsia"/>
          <w:bCs/>
          <w:sz w:val="24"/>
        </w:rPr>
        <w:t>．</w:t>
      </w:r>
      <w:r>
        <w:rPr>
          <w:bCs/>
          <w:sz w:val="24"/>
        </w:rPr>
        <w:t>6</w:t>
      </w:r>
      <w:r>
        <w:rPr>
          <w:rFonts w:hint="eastAsia"/>
          <w:bCs/>
          <w:sz w:val="24"/>
        </w:rPr>
        <w:t>完全满足招标文件的实质性要求；</w:t>
      </w:r>
    </w:p>
    <w:p>
      <w:pPr>
        <w:pStyle w:val="11"/>
        <w:spacing w:line="360" w:lineRule="auto"/>
        <w:rPr>
          <w:bCs/>
          <w:sz w:val="24"/>
        </w:rPr>
      </w:pPr>
      <w:r>
        <w:rPr>
          <w:rFonts w:hint="eastAsia"/>
          <w:bCs/>
          <w:sz w:val="24"/>
        </w:rPr>
        <w:t xml:space="preserve">    </w:t>
      </w:r>
      <w:r>
        <w:rPr>
          <w:bCs/>
          <w:sz w:val="24"/>
        </w:rPr>
        <w:t>1</w:t>
      </w:r>
      <w:r>
        <w:rPr>
          <w:rFonts w:hint="eastAsia"/>
          <w:bCs/>
          <w:sz w:val="24"/>
        </w:rPr>
        <w:t>．</w:t>
      </w:r>
      <w:r>
        <w:rPr>
          <w:bCs/>
          <w:sz w:val="24"/>
        </w:rPr>
        <w:t>7</w:t>
      </w:r>
      <w:r>
        <w:rPr>
          <w:rFonts w:hint="eastAsia"/>
          <w:bCs/>
          <w:sz w:val="24"/>
        </w:rPr>
        <w:t>凡具备招标文件要求资格，有服务能力的供应商均可参加。</w:t>
      </w:r>
    </w:p>
    <w:p>
      <w:pPr>
        <w:pStyle w:val="11"/>
        <w:spacing w:line="360" w:lineRule="auto"/>
        <w:rPr>
          <w:b/>
          <w:bCs/>
          <w:sz w:val="24"/>
          <w:szCs w:val="24"/>
        </w:rPr>
      </w:pPr>
      <w:r>
        <w:rPr>
          <w:rFonts w:hint="eastAsia"/>
          <w:b/>
          <w:sz w:val="24"/>
        </w:rPr>
        <w:t xml:space="preserve">   </w:t>
      </w:r>
    </w:p>
    <w:p>
      <w:pPr>
        <w:pStyle w:val="11"/>
        <w:spacing w:line="360" w:lineRule="auto"/>
        <w:jc w:val="center"/>
        <w:rPr>
          <w:b/>
          <w:bCs/>
          <w:sz w:val="24"/>
        </w:rPr>
      </w:pPr>
      <w:r>
        <w:rPr>
          <w:b/>
          <w:sz w:val="24"/>
        </w:rPr>
        <w:t>B</w:t>
      </w:r>
      <w:r>
        <w:rPr>
          <w:rFonts w:hint="eastAsia"/>
          <w:b/>
          <w:sz w:val="24"/>
        </w:rPr>
        <w:t xml:space="preserve"> 招标文件的说明</w:t>
      </w:r>
    </w:p>
    <w:p>
      <w:pPr>
        <w:pStyle w:val="11"/>
        <w:spacing w:line="360" w:lineRule="auto"/>
        <w:ind w:firstLine="482" w:firstLineChars="200"/>
        <w:rPr>
          <w:b/>
          <w:sz w:val="24"/>
        </w:rPr>
      </w:pPr>
      <w:r>
        <w:rPr>
          <w:b/>
          <w:sz w:val="24"/>
        </w:rPr>
        <w:t>1</w:t>
      </w:r>
      <w:r>
        <w:rPr>
          <w:rFonts w:hint="eastAsia"/>
          <w:b/>
          <w:sz w:val="24"/>
        </w:rPr>
        <w:t>．招标文件</w:t>
      </w:r>
    </w:p>
    <w:p>
      <w:pPr>
        <w:pStyle w:val="11"/>
        <w:spacing w:line="360" w:lineRule="auto"/>
        <w:ind w:firstLine="480" w:firstLineChars="200"/>
        <w:rPr>
          <w:sz w:val="24"/>
        </w:rPr>
      </w:pPr>
      <w:r>
        <w:rPr>
          <w:sz w:val="24"/>
        </w:rPr>
        <w:t>1</w:t>
      </w:r>
      <w:r>
        <w:rPr>
          <w:rFonts w:hint="eastAsia"/>
          <w:sz w:val="24"/>
        </w:rPr>
        <w:t>．1招标文件由招标文件目录所列内容组成。</w:t>
      </w:r>
    </w:p>
    <w:p>
      <w:pPr>
        <w:pStyle w:val="11"/>
        <w:spacing w:line="360" w:lineRule="auto"/>
        <w:ind w:firstLine="480" w:firstLineChars="200"/>
        <w:rPr>
          <w:sz w:val="24"/>
        </w:rPr>
      </w:pPr>
      <w:r>
        <w:rPr>
          <w:sz w:val="24"/>
        </w:rPr>
        <w:t>1</w:t>
      </w:r>
      <w:r>
        <w:rPr>
          <w:rFonts w:hint="eastAsia"/>
          <w:sz w:val="24"/>
        </w:rPr>
        <w:t>．2供应商应详细阅读招标文件的全部内容。不按招标文件的要求提供的投标文件和资料，可能导致投标被拒绝。</w:t>
      </w:r>
    </w:p>
    <w:p>
      <w:pPr>
        <w:pStyle w:val="11"/>
        <w:spacing w:line="360" w:lineRule="auto"/>
        <w:rPr>
          <w:b/>
          <w:bCs/>
          <w:sz w:val="24"/>
        </w:rPr>
      </w:pPr>
      <w:r>
        <w:rPr>
          <w:b/>
          <w:bCs/>
          <w:sz w:val="24"/>
        </w:rPr>
        <w:t>2</w:t>
      </w:r>
      <w:r>
        <w:rPr>
          <w:rFonts w:hint="eastAsia"/>
          <w:b/>
          <w:bCs/>
          <w:sz w:val="24"/>
        </w:rPr>
        <w:t>．招标文件的澄清</w:t>
      </w:r>
    </w:p>
    <w:p>
      <w:pPr>
        <w:pStyle w:val="11"/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  </w:t>
      </w:r>
      <w:r>
        <w:rPr>
          <w:sz w:val="24"/>
        </w:rPr>
        <w:t>2</w:t>
      </w:r>
      <w:r>
        <w:rPr>
          <w:rFonts w:hint="eastAsia"/>
          <w:sz w:val="24"/>
        </w:rPr>
        <w:t>．1供应商对招标文件如有疑点要求澄清，或认为有必要与采购人进行技术交流时，可在开标截止日期十五日前以书面、传真形式通知采购代理机构。采购代理机构视情况予以答复，如有必要，可将答复内容包括原提出的问题，分发给所有供应商。</w:t>
      </w:r>
    </w:p>
    <w:p>
      <w:pPr>
        <w:pStyle w:val="11"/>
        <w:spacing w:line="360" w:lineRule="auto"/>
        <w:ind w:firstLine="482" w:firstLineChars="200"/>
        <w:rPr>
          <w:b/>
          <w:bCs/>
          <w:sz w:val="24"/>
        </w:rPr>
      </w:pPr>
      <w:r>
        <w:rPr>
          <w:b/>
          <w:bCs/>
          <w:sz w:val="24"/>
        </w:rPr>
        <w:t>3</w:t>
      </w:r>
      <w:r>
        <w:rPr>
          <w:rFonts w:hint="eastAsia"/>
          <w:b/>
          <w:bCs/>
          <w:sz w:val="24"/>
        </w:rPr>
        <w:t>．招标文件的修改</w:t>
      </w:r>
    </w:p>
    <w:p>
      <w:pPr>
        <w:pStyle w:val="11"/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  </w:t>
      </w:r>
      <w:r>
        <w:rPr>
          <w:sz w:val="24"/>
        </w:rPr>
        <w:t>3</w:t>
      </w:r>
      <w:r>
        <w:rPr>
          <w:rFonts w:hint="eastAsia"/>
          <w:sz w:val="24"/>
        </w:rPr>
        <w:t>．1在投标截止日期前，采购代理机构均可对招标文件用补充文件的方式进行修改。</w:t>
      </w:r>
    </w:p>
    <w:p>
      <w:pPr>
        <w:pStyle w:val="11"/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  </w:t>
      </w:r>
      <w:r>
        <w:rPr>
          <w:sz w:val="24"/>
        </w:rPr>
        <w:t>3</w:t>
      </w:r>
      <w:r>
        <w:rPr>
          <w:rFonts w:hint="eastAsia"/>
          <w:sz w:val="24"/>
        </w:rPr>
        <w:t>．2对招标文件的修改、补充，将以书面、传真的形式通知已领取招标文件的每一供应商。修改、补充内容将作为招标文件的组成部分，对采购人和所有供应商均具有约束力。</w:t>
      </w:r>
    </w:p>
    <w:p>
      <w:pPr>
        <w:pStyle w:val="11"/>
        <w:spacing w:line="360" w:lineRule="auto"/>
        <w:ind w:firstLine="480" w:firstLineChars="200"/>
        <w:rPr>
          <w:sz w:val="24"/>
        </w:rPr>
      </w:pPr>
      <w:r>
        <w:rPr>
          <w:sz w:val="24"/>
        </w:rPr>
        <w:t>3</w:t>
      </w:r>
      <w:r>
        <w:rPr>
          <w:rFonts w:hint="eastAsia"/>
          <w:sz w:val="24"/>
        </w:rPr>
        <w:t>．3为使供应商有足够的时间按招标文件的修改、补充要求考虑修正投标文件，采购代理机构可酌情推迟投标的截止日期和开标日期，并将此变更通知上述每一供应商。</w:t>
      </w:r>
    </w:p>
    <w:p>
      <w:pPr>
        <w:pStyle w:val="11"/>
        <w:spacing w:line="360" w:lineRule="auto"/>
        <w:jc w:val="center"/>
        <w:rPr>
          <w:b/>
          <w:sz w:val="24"/>
        </w:rPr>
      </w:pPr>
    </w:p>
    <w:p>
      <w:pPr>
        <w:pStyle w:val="11"/>
        <w:spacing w:line="360" w:lineRule="auto"/>
        <w:jc w:val="center"/>
        <w:rPr>
          <w:b/>
          <w:sz w:val="24"/>
        </w:rPr>
      </w:pPr>
    </w:p>
    <w:p>
      <w:pPr>
        <w:pStyle w:val="11"/>
        <w:spacing w:line="360" w:lineRule="auto"/>
        <w:jc w:val="center"/>
        <w:rPr>
          <w:b/>
          <w:sz w:val="24"/>
        </w:rPr>
      </w:pPr>
    </w:p>
    <w:p>
      <w:pPr>
        <w:pStyle w:val="11"/>
        <w:spacing w:line="360" w:lineRule="auto"/>
        <w:jc w:val="center"/>
        <w:rPr>
          <w:b/>
          <w:sz w:val="24"/>
        </w:rPr>
      </w:pPr>
    </w:p>
    <w:p>
      <w:pPr>
        <w:pStyle w:val="11"/>
        <w:spacing w:line="360" w:lineRule="auto"/>
        <w:jc w:val="center"/>
        <w:rPr>
          <w:b/>
          <w:bCs/>
          <w:sz w:val="24"/>
        </w:rPr>
      </w:pPr>
      <w:r>
        <w:rPr>
          <w:b/>
          <w:sz w:val="24"/>
        </w:rPr>
        <w:t>C</w:t>
      </w:r>
      <w:r>
        <w:rPr>
          <w:rFonts w:hint="eastAsia"/>
          <w:b/>
          <w:sz w:val="24"/>
        </w:rPr>
        <w:t xml:space="preserve">  投标文件</w:t>
      </w:r>
    </w:p>
    <w:p>
      <w:pPr>
        <w:pStyle w:val="11"/>
        <w:spacing w:line="360" w:lineRule="auto"/>
        <w:ind w:firstLine="482" w:firstLineChars="200"/>
        <w:rPr>
          <w:b/>
          <w:bCs/>
          <w:sz w:val="24"/>
        </w:rPr>
      </w:pPr>
      <w:r>
        <w:rPr>
          <w:b/>
          <w:bCs/>
          <w:sz w:val="24"/>
        </w:rPr>
        <w:t>1</w:t>
      </w:r>
      <w:r>
        <w:rPr>
          <w:rFonts w:hint="eastAsia"/>
          <w:b/>
          <w:bCs/>
          <w:sz w:val="24"/>
        </w:rPr>
        <w:t>．投标文件计量单位和文字</w:t>
      </w:r>
    </w:p>
    <w:p>
      <w:pPr>
        <w:pStyle w:val="11"/>
        <w:spacing w:line="360" w:lineRule="auto"/>
        <w:ind w:firstLine="480" w:firstLineChars="200"/>
        <w:rPr>
          <w:sz w:val="24"/>
        </w:rPr>
      </w:pPr>
      <w:r>
        <w:rPr>
          <w:sz w:val="24"/>
        </w:rPr>
        <w:t>1</w:t>
      </w:r>
      <w:r>
        <w:rPr>
          <w:rFonts w:hint="eastAsia"/>
          <w:sz w:val="24"/>
        </w:rPr>
        <w:t>．1投标文件中所使用的计量单位，除招标文件中有特殊要求外，均采用国家法定计量单位。</w:t>
      </w:r>
    </w:p>
    <w:p>
      <w:pPr>
        <w:pStyle w:val="11"/>
        <w:spacing w:line="360" w:lineRule="auto"/>
        <w:ind w:firstLine="480" w:firstLineChars="200"/>
        <w:rPr>
          <w:sz w:val="24"/>
        </w:rPr>
      </w:pPr>
      <w:r>
        <w:rPr>
          <w:sz w:val="24"/>
        </w:rPr>
        <w:t>1</w:t>
      </w:r>
      <w:r>
        <w:rPr>
          <w:rFonts w:hint="eastAsia"/>
          <w:sz w:val="24"/>
        </w:rPr>
        <w:t>．2投标文件及供应商与采购代理机构之间与投标有关的来往通知、函件和文件均应使用中文。</w:t>
      </w:r>
    </w:p>
    <w:p>
      <w:pPr>
        <w:pStyle w:val="11"/>
        <w:spacing w:line="360" w:lineRule="auto"/>
        <w:ind w:firstLine="482" w:firstLineChars="200"/>
        <w:rPr>
          <w:b/>
          <w:bCs/>
          <w:sz w:val="24"/>
        </w:rPr>
      </w:pPr>
      <w:r>
        <w:rPr>
          <w:b/>
          <w:bCs/>
          <w:sz w:val="24"/>
        </w:rPr>
        <w:t>2</w:t>
      </w:r>
      <w:r>
        <w:rPr>
          <w:rFonts w:hint="eastAsia"/>
          <w:b/>
          <w:bCs/>
          <w:sz w:val="24"/>
        </w:rPr>
        <w:t>．投标文件</w:t>
      </w:r>
    </w:p>
    <w:p>
      <w:pPr>
        <w:pStyle w:val="11"/>
        <w:spacing w:line="360" w:lineRule="auto"/>
        <w:ind w:firstLine="482" w:firstLineChars="200"/>
        <w:rPr>
          <w:b/>
          <w:bCs/>
          <w:sz w:val="24"/>
        </w:rPr>
      </w:pPr>
      <w:r>
        <w:rPr>
          <w:b/>
          <w:sz w:val="24"/>
        </w:rPr>
        <w:t>2</w:t>
      </w:r>
      <w:r>
        <w:rPr>
          <w:rFonts w:hint="eastAsia"/>
          <w:b/>
          <w:sz w:val="24"/>
        </w:rPr>
        <w:t>．1</w:t>
      </w:r>
      <w:r>
        <w:rPr>
          <w:rFonts w:hint="eastAsia"/>
          <w:b/>
          <w:bCs/>
          <w:sz w:val="24"/>
        </w:rPr>
        <w:t>投标文件的组成</w:t>
      </w:r>
    </w:p>
    <w:p>
      <w:pPr>
        <w:pStyle w:val="11"/>
        <w:spacing w:line="360" w:lineRule="auto"/>
        <w:ind w:firstLine="480" w:firstLineChars="200"/>
        <w:rPr>
          <w:bCs/>
          <w:color w:val="000000"/>
          <w:kern w:val="0"/>
          <w:sz w:val="24"/>
          <w:szCs w:val="24"/>
        </w:rPr>
      </w:pPr>
      <w:r>
        <w:rPr>
          <w:rFonts w:hint="eastAsia"/>
          <w:bCs/>
          <w:color w:val="000000"/>
          <w:kern w:val="0"/>
          <w:sz w:val="24"/>
          <w:szCs w:val="24"/>
        </w:rPr>
        <w:t>(1)投标函</w:t>
      </w:r>
    </w:p>
    <w:p>
      <w:pPr>
        <w:pStyle w:val="11"/>
        <w:spacing w:line="360" w:lineRule="auto"/>
        <w:ind w:firstLine="480" w:firstLineChars="200"/>
        <w:rPr>
          <w:bCs/>
          <w:color w:val="000000"/>
          <w:kern w:val="0"/>
          <w:sz w:val="24"/>
          <w:szCs w:val="24"/>
        </w:rPr>
      </w:pPr>
      <w:r>
        <w:rPr>
          <w:rFonts w:hint="eastAsia"/>
          <w:bCs/>
          <w:color w:val="000000"/>
          <w:kern w:val="0"/>
          <w:sz w:val="24"/>
          <w:szCs w:val="24"/>
        </w:rPr>
        <w:t>(2)唱标一览表</w:t>
      </w:r>
    </w:p>
    <w:p>
      <w:pPr>
        <w:pStyle w:val="11"/>
        <w:spacing w:line="360" w:lineRule="auto"/>
        <w:ind w:firstLine="480" w:firstLineChars="200"/>
        <w:rPr>
          <w:bCs/>
          <w:color w:val="000000"/>
          <w:kern w:val="0"/>
          <w:sz w:val="24"/>
          <w:szCs w:val="24"/>
        </w:rPr>
      </w:pPr>
      <w:r>
        <w:rPr>
          <w:rFonts w:hint="eastAsia"/>
          <w:bCs/>
          <w:color w:val="000000"/>
          <w:kern w:val="0"/>
          <w:sz w:val="24"/>
          <w:szCs w:val="24"/>
        </w:rPr>
        <w:t>(3)投标报价明细表</w:t>
      </w:r>
    </w:p>
    <w:p>
      <w:pPr>
        <w:pStyle w:val="11"/>
        <w:spacing w:line="360" w:lineRule="auto"/>
        <w:ind w:firstLine="480" w:firstLineChars="200"/>
        <w:rPr>
          <w:bCs/>
          <w:color w:val="000000"/>
          <w:kern w:val="0"/>
          <w:sz w:val="24"/>
          <w:szCs w:val="24"/>
        </w:rPr>
      </w:pPr>
      <w:r>
        <w:rPr>
          <w:rFonts w:hint="eastAsia"/>
          <w:bCs/>
          <w:color w:val="000000"/>
          <w:kern w:val="0"/>
          <w:sz w:val="24"/>
          <w:szCs w:val="24"/>
        </w:rPr>
        <w:t>(4)产品说明（包括产品名称、品牌、规格型号、制造商、原产地、外观质量、技术指标、性能指标、主要技术参数说明、货物的使命寿命、国家及地方相关质量、验收标准及产品符合国家及地方质量、验收标准的情况等）</w:t>
      </w:r>
    </w:p>
    <w:p>
      <w:pPr>
        <w:pStyle w:val="11"/>
        <w:spacing w:line="360" w:lineRule="auto"/>
        <w:ind w:firstLine="480" w:firstLineChars="200"/>
        <w:rPr>
          <w:bCs/>
          <w:color w:val="000000"/>
          <w:kern w:val="0"/>
          <w:sz w:val="24"/>
          <w:szCs w:val="24"/>
        </w:rPr>
      </w:pPr>
      <w:r>
        <w:rPr>
          <w:rFonts w:hint="eastAsia"/>
          <w:bCs/>
          <w:color w:val="000000"/>
          <w:kern w:val="0"/>
          <w:sz w:val="24"/>
          <w:szCs w:val="24"/>
        </w:rPr>
        <w:t>(5)产品合格证书及相关证书证件和检验检测报告等</w:t>
      </w:r>
    </w:p>
    <w:p>
      <w:pPr>
        <w:pStyle w:val="11"/>
        <w:spacing w:line="360" w:lineRule="auto"/>
        <w:ind w:firstLine="480" w:firstLineChars="200"/>
        <w:rPr>
          <w:bCs/>
          <w:color w:val="000000"/>
          <w:kern w:val="0"/>
          <w:sz w:val="24"/>
          <w:szCs w:val="24"/>
        </w:rPr>
      </w:pPr>
      <w:r>
        <w:rPr>
          <w:rFonts w:hint="eastAsia"/>
          <w:bCs/>
          <w:color w:val="000000"/>
          <w:kern w:val="0"/>
          <w:sz w:val="24"/>
          <w:szCs w:val="24"/>
        </w:rPr>
        <w:t>(6)</w:t>
      </w:r>
      <w:r>
        <w:rPr>
          <w:rFonts w:hint="eastAsia"/>
          <w:bCs/>
          <w:sz w:val="24"/>
        </w:rPr>
        <w:t>所报货物的备品备件清单</w:t>
      </w:r>
    </w:p>
    <w:p>
      <w:pPr>
        <w:pStyle w:val="11"/>
        <w:spacing w:line="360" w:lineRule="auto"/>
        <w:ind w:firstLine="480" w:firstLineChars="200"/>
        <w:rPr>
          <w:bCs/>
          <w:color w:val="000000"/>
          <w:kern w:val="0"/>
          <w:sz w:val="24"/>
          <w:szCs w:val="24"/>
        </w:rPr>
      </w:pPr>
      <w:r>
        <w:rPr>
          <w:rFonts w:hint="eastAsia"/>
          <w:bCs/>
          <w:color w:val="000000"/>
          <w:kern w:val="0"/>
          <w:sz w:val="24"/>
          <w:szCs w:val="24"/>
        </w:rPr>
        <w:t>(7)技术参数、技术规范偏离表</w:t>
      </w:r>
    </w:p>
    <w:p>
      <w:pPr>
        <w:pStyle w:val="11"/>
        <w:spacing w:line="360" w:lineRule="auto"/>
        <w:ind w:firstLine="480" w:firstLineChars="200"/>
        <w:rPr>
          <w:bCs/>
          <w:color w:val="000000"/>
          <w:kern w:val="0"/>
          <w:sz w:val="24"/>
          <w:szCs w:val="24"/>
        </w:rPr>
      </w:pPr>
      <w:r>
        <w:rPr>
          <w:rFonts w:hint="eastAsia"/>
          <w:bCs/>
          <w:color w:val="000000"/>
          <w:kern w:val="0"/>
          <w:sz w:val="24"/>
          <w:szCs w:val="24"/>
        </w:rPr>
        <w:t>(8)供货安装、实施方案、优化设计方案、供货期或完工时限保证措施等</w:t>
      </w:r>
    </w:p>
    <w:p>
      <w:pPr>
        <w:pStyle w:val="11"/>
        <w:spacing w:line="360" w:lineRule="auto"/>
        <w:ind w:firstLine="480" w:firstLineChars="200"/>
        <w:rPr>
          <w:bCs/>
          <w:color w:val="000000"/>
          <w:kern w:val="0"/>
          <w:sz w:val="24"/>
          <w:szCs w:val="24"/>
        </w:rPr>
      </w:pPr>
      <w:r>
        <w:rPr>
          <w:rFonts w:hint="eastAsia"/>
          <w:bCs/>
          <w:color w:val="000000"/>
          <w:kern w:val="0"/>
          <w:sz w:val="24"/>
          <w:szCs w:val="24"/>
        </w:rPr>
        <w:t>(9)售后服务承诺【包括：供货时间、安装调试完成时间，免费质保期及质保期内产品维护（维护、保养）上门服务响应时间、售后技术指导和服务承诺，超出质保期的产品维修（维护、保养）方式及服务响应时间、是否收费及收费标准，技术服务响应时间、质量保证措施及承诺，备品备件的供应、故障排除时限、联系人、联系电话等】</w:t>
      </w:r>
    </w:p>
    <w:p>
      <w:pPr>
        <w:pStyle w:val="11"/>
        <w:spacing w:line="360" w:lineRule="auto"/>
        <w:ind w:firstLine="480" w:firstLineChars="200"/>
        <w:rPr>
          <w:bCs/>
          <w:color w:val="000000"/>
          <w:kern w:val="0"/>
          <w:sz w:val="24"/>
          <w:szCs w:val="24"/>
        </w:rPr>
      </w:pPr>
      <w:r>
        <w:rPr>
          <w:rFonts w:hint="eastAsia"/>
          <w:bCs/>
          <w:color w:val="000000"/>
          <w:kern w:val="0"/>
          <w:sz w:val="24"/>
          <w:szCs w:val="24"/>
        </w:rPr>
        <w:t>(10) 投标供应商2014年以来承接的类似项目业绩（若有需提供，提供类似项目业绩同时须提供该业绩的合同、验收报告、中标通知书、中标公告网站截图复印件）</w:t>
      </w:r>
    </w:p>
    <w:p>
      <w:pPr>
        <w:pStyle w:val="11"/>
        <w:spacing w:line="360" w:lineRule="auto"/>
        <w:ind w:firstLine="480" w:firstLineChars="200"/>
        <w:rPr>
          <w:sz w:val="24"/>
        </w:rPr>
      </w:pPr>
      <w:r>
        <w:rPr>
          <w:rFonts w:hint="eastAsia"/>
          <w:bCs/>
          <w:color w:val="000000"/>
          <w:kern w:val="0"/>
          <w:sz w:val="24"/>
          <w:szCs w:val="24"/>
        </w:rPr>
        <w:t xml:space="preserve"> (1</w:t>
      </w:r>
      <w:r>
        <w:rPr>
          <w:bCs/>
          <w:color w:val="000000"/>
          <w:kern w:val="0"/>
          <w:sz w:val="24"/>
          <w:szCs w:val="24"/>
        </w:rPr>
        <w:t>1</w:t>
      </w:r>
      <w:r>
        <w:rPr>
          <w:rFonts w:hint="eastAsia"/>
          <w:bCs/>
          <w:color w:val="000000"/>
          <w:kern w:val="0"/>
          <w:sz w:val="24"/>
          <w:szCs w:val="24"/>
        </w:rPr>
        <w:t>)节能、环境标志产品投标清单报价表节能环境标志、产品投标清单并一同提供属于采购清单内产品的证明资料(如果供应商提供节能环保产品，须提供相关证明材料复印件)</w:t>
      </w:r>
      <w:r>
        <w:rPr>
          <w:sz w:val="24"/>
        </w:rPr>
        <w:t xml:space="preserve"> </w:t>
      </w:r>
    </w:p>
    <w:p>
      <w:pPr>
        <w:pStyle w:val="11"/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（1</w:t>
      </w:r>
      <w:r>
        <w:rPr>
          <w:sz w:val="24"/>
        </w:rPr>
        <w:t>2</w:t>
      </w:r>
      <w:r>
        <w:rPr>
          <w:rFonts w:hint="eastAsia"/>
          <w:sz w:val="24"/>
        </w:rPr>
        <w:t>）供应商简介及资质证明文件</w:t>
      </w:r>
    </w:p>
    <w:p>
      <w:pPr>
        <w:pStyle w:val="11"/>
        <w:spacing w:line="360" w:lineRule="auto"/>
        <w:ind w:firstLine="480" w:firstLineChars="200"/>
        <w:rPr>
          <w:sz w:val="24"/>
        </w:rPr>
      </w:pPr>
      <w:r>
        <w:rPr>
          <w:sz w:val="24"/>
        </w:rPr>
        <w:t>a</w:t>
      </w:r>
      <w:r>
        <w:rPr>
          <w:rFonts w:hint="eastAsia"/>
          <w:sz w:val="24"/>
        </w:rPr>
        <w:t>：《营业执照》副本</w:t>
      </w:r>
      <w:r>
        <w:rPr>
          <w:rFonts w:hint="eastAsia"/>
          <w:kern w:val="0"/>
          <w:sz w:val="24"/>
        </w:rPr>
        <w:t>（</w:t>
      </w:r>
      <w:r>
        <w:rPr>
          <w:rFonts w:hint="eastAsia"/>
          <w:sz w:val="24"/>
        </w:rPr>
        <w:t>或由发证机关或公证处出具的证明</w:t>
      </w:r>
      <w:r>
        <w:rPr>
          <w:rFonts w:hint="eastAsia"/>
          <w:kern w:val="0"/>
          <w:sz w:val="24"/>
        </w:rPr>
        <w:t>）</w:t>
      </w:r>
      <w:r>
        <w:rPr>
          <w:rFonts w:hint="eastAsia"/>
          <w:sz w:val="24"/>
        </w:rPr>
        <w:t>复印件</w:t>
      </w:r>
    </w:p>
    <w:p>
      <w:pPr>
        <w:pStyle w:val="11"/>
        <w:spacing w:line="360" w:lineRule="auto"/>
        <w:ind w:firstLine="480" w:firstLineChars="200"/>
        <w:rPr>
          <w:sz w:val="24"/>
        </w:rPr>
      </w:pPr>
      <w:r>
        <w:rPr>
          <w:sz w:val="24"/>
        </w:rPr>
        <w:t>b</w:t>
      </w:r>
      <w:r>
        <w:rPr>
          <w:rFonts w:hint="eastAsia"/>
          <w:sz w:val="24"/>
        </w:rPr>
        <w:t>：《税务登记证》副本</w:t>
      </w:r>
      <w:r>
        <w:rPr>
          <w:rFonts w:hint="eastAsia"/>
          <w:kern w:val="0"/>
          <w:sz w:val="24"/>
        </w:rPr>
        <w:t>（</w:t>
      </w:r>
      <w:r>
        <w:rPr>
          <w:rFonts w:hint="eastAsia"/>
          <w:sz w:val="24"/>
        </w:rPr>
        <w:t>或由发证机关或公证处出具的证明</w:t>
      </w:r>
      <w:r>
        <w:rPr>
          <w:rFonts w:hint="eastAsia"/>
          <w:kern w:val="0"/>
          <w:sz w:val="24"/>
        </w:rPr>
        <w:t>）</w:t>
      </w:r>
      <w:r>
        <w:rPr>
          <w:rFonts w:hint="eastAsia"/>
          <w:sz w:val="24"/>
        </w:rPr>
        <w:t>复印件</w:t>
      </w:r>
    </w:p>
    <w:p>
      <w:pPr>
        <w:pStyle w:val="11"/>
        <w:tabs>
          <w:tab w:val="right" w:pos="9180"/>
        </w:tabs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c：《组织机构代码证》副本（或由发证机关或公证处出具的证明）复印件</w:t>
      </w:r>
    </w:p>
    <w:p>
      <w:pPr>
        <w:pStyle w:val="11"/>
        <w:tabs>
          <w:tab w:val="right" w:pos="9180"/>
        </w:tabs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d： 供应商所投供水设备须具有省级以上（含省级）卫生部门核发的供水设备卫生许可批件复印件</w:t>
      </w:r>
    </w:p>
    <w:p>
      <w:pPr>
        <w:pStyle w:val="11"/>
        <w:tabs>
          <w:tab w:val="right" w:pos="9180"/>
        </w:tabs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e：供应商所投供水设备电气部分（配电箱、低压动力柜）获得中国质量认证中心出具的中国国家强制性产品3C认证复印件</w:t>
      </w:r>
    </w:p>
    <w:p>
      <w:pPr>
        <w:pStyle w:val="11"/>
        <w:tabs>
          <w:tab w:val="right" w:pos="9180"/>
        </w:tabs>
        <w:spacing w:line="360" w:lineRule="auto"/>
        <w:ind w:firstLine="480" w:firstLineChars="200"/>
        <w:rPr>
          <w:bCs/>
          <w:sz w:val="24"/>
        </w:rPr>
      </w:pPr>
      <w:r>
        <w:rPr>
          <w:rFonts w:hint="eastAsia"/>
          <w:sz w:val="24"/>
        </w:rPr>
        <w:t>f：参加采购活动前3年内在经营活动中没有重大违法记录的书面声明复印件</w:t>
      </w:r>
      <w:r>
        <w:rPr>
          <w:rFonts w:hint="eastAsia"/>
          <w:sz w:val="24"/>
        </w:rPr>
        <w:tab/>
      </w:r>
    </w:p>
    <w:p>
      <w:pPr>
        <w:pStyle w:val="11"/>
        <w:tabs>
          <w:tab w:val="right" w:pos="9180"/>
        </w:tabs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g：依法缴纳税收和社会保障资金的相关材料复印件</w:t>
      </w:r>
    </w:p>
    <w:p>
      <w:pPr>
        <w:adjustRightInd w:val="0"/>
        <w:snapToGrid w:val="0"/>
        <w:spacing w:line="360" w:lineRule="auto"/>
        <w:rPr>
          <w:rFonts w:asciiTheme="minorEastAsia" w:hAnsiTheme="minorEastAsia" w:cstheme="minorEastAsia"/>
          <w:b/>
          <w:bCs/>
          <w:kern w:val="0"/>
          <w:sz w:val="24"/>
        </w:rPr>
      </w:pPr>
      <w:r>
        <w:rPr>
          <w:rFonts w:asciiTheme="minorEastAsia" w:hAnsiTheme="minorEastAsia" w:cstheme="minorEastAsia"/>
          <w:b/>
          <w:sz w:val="24"/>
        </w:rPr>
        <w:t>3</w:t>
      </w:r>
      <w:r>
        <w:rPr>
          <w:rFonts w:hint="eastAsia" w:asciiTheme="minorEastAsia" w:hAnsiTheme="minorEastAsia" w:cstheme="minorEastAsia"/>
          <w:b/>
          <w:sz w:val="24"/>
        </w:rPr>
        <w:t>．投标内容填写说明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．1投标文件按本招标文件第五部分要求的统一格式填写。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．2投标报价表为开标仪式上唱标的内容，要求按格式填写，统一规范，不得自行增减内容。</w:t>
      </w:r>
    </w:p>
    <w:p>
      <w:pPr>
        <w:adjustRightInd w:val="0"/>
        <w:snapToGrid w:val="0"/>
        <w:spacing w:line="360" w:lineRule="auto"/>
        <w:ind w:firstLine="482" w:firstLineChars="200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4</w:t>
      </w:r>
      <w:r>
        <w:rPr>
          <w:rFonts w:hint="eastAsia" w:ascii="宋体" w:hAnsi="宋体"/>
          <w:b/>
          <w:sz w:val="24"/>
        </w:rPr>
        <w:t>．投标报价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4</w:t>
      </w:r>
      <w:r>
        <w:rPr>
          <w:rFonts w:hint="eastAsia" w:ascii="宋体" w:hAnsi="宋体"/>
          <w:b/>
          <w:sz w:val="24"/>
        </w:rPr>
        <w:t>.</w:t>
      </w:r>
      <w:r>
        <w:rPr>
          <w:rFonts w:hint="eastAsia" w:ascii="宋体" w:hAnsi="宋体"/>
          <w:sz w:val="24"/>
        </w:rPr>
        <w:t xml:space="preserve"> 1所有投标均以人民币报价。</w:t>
      </w:r>
      <w:bookmarkStart w:id="4" w:name="_GoBack"/>
      <w:bookmarkEnd w:id="4"/>
    </w:p>
    <w:p>
      <w:pPr>
        <w:pStyle w:val="11"/>
        <w:spacing w:line="360" w:lineRule="auto"/>
        <w:ind w:firstLine="480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4</w:t>
      </w:r>
      <w:r>
        <w:rPr>
          <w:rFonts w:hint="eastAsia"/>
          <w:b/>
          <w:bCs/>
          <w:sz w:val="24"/>
          <w:szCs w:val="24"/>
        </w:rPr>
        <w:t>．2各供应商按照招标文件的要求及招标文件提供的报价表进行报价，</w:t>
      </w:r>
      <w:r>
        <w:rPr>
          <w:rFonts w:hint="eastAsia"/>
          <w:b/>
          <w:sz w:val="24"/>
          <w:szCs w:val="24"/>
        </w:rPr>
        <w:t>报价含产品供货完毕后的全部费税价格，承担所有配件费用，其内容包括但不仅限于：货物、安装、配件、附件、备品备件、专用工具安装、调试、耗品、辅材、包装、运输、装卸、安装、调试、检测、验收、人员培训、售后服务、费用；在其他情况下，由于分项报价填报不完整、不清楚或存在其他任何失误，所导致的任何不利后果均应当由供应商自行承担。</w:t>
      </w:r>
    </w:p>
    <w:p>
      <w:pPr>
        <w:pStyle w:val="11"/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>随机附件中的备品备件、易损件、专用工具价按该种类</w:t>
      </w:r>
      <w:r>
        <w:rPr>
          <w:sz w:val="24"/>
        </w:rPr>
        <w:t>/</w:t>
      </w:r>
      <w:r>
        <w:rPr>
          <w:rFonts w:hint="eastAsia"/>
          <w:sz w:val="24"/>
        </w:rPr>
        <w:t>或型号规格货物</w:t>
      </w:r>
      <w:r>
        <w:rPr>
          <w:sz w:val="24"/>
        </w:rPr>
        <w:t>/</w:t>
      </w:r>
      <w:r>
        <w:rPr>
          <w:rFonts w:hint="eastAsia"/>
          <w:sz w:val="24"/>
        </w:rPr>
        <w:t>设备台数的需要量以表列报，并计入货物</w:t>
      </w:r>
      <w:r>
        <w:rPr>
          <w:sz w:val="24"/>
        </w:rPr>
        <w:t>/</w:t>
      </w:r>
      <w:r>
        <w:rPr>
          <w:rFonts w:hint="eastAsia"/>
          <w:sz w:val="24"/>
        </w:rPr>
        <w:t>设备总价及投标总报价。</w:t>
      </w:r>
    </w:p>
    <w:p>
      <w:pPr>
        <w:pStyle w:val="11"/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>招标文件要求投标人所报投标报价全面考虑招标文件明示、暗示的所有风险和责任、义务等的全部费用。投标报价应是招标范围内全部工作内容的价格体现。投标文件一经提交，则将被视为发包内容的全部费用已经包含在投标报价内。</w:t>
      </w:r>
    </w:p>
    <w:p>
      <w:pPr>
        <w:pStyle w:val="11"/>
        <w:spacing w:line="360" w:lineRule="auto"/>
        <w:ind w:firstLine="482" w:firstLineChars="200"/>
        <w:rPr>
          <w:sz w:val="24"/>
        </w:rPr>
      </w:pPr>
      <w:r>
        <w:rPr>
          <w:b/>
          <w:sz w:val="24"/>
        </w:rPr>
        <w:t>5</w:t>
      </w:r>
      <w:r>
        <w:rPr>
          <w:rFonts w:hint="eastAsia"/>
          <w:b/>
          <w:sz w:val="24"/>
        </w:rPr>
        <w:t>．投标文件的有效期</w:t>
      </w:r>
    </w:p>
    <w:p>
      <w:pPr>
        <w:pStyle w:val="11"/>
        <w:spacing w:line="360" w:lineRule="auto"/>
        <w:ind w:firstLine="480" w:firstLineChars="200"/>
        <w:rPr>
          <w:sz w:val="24"/>
        </w:rPr>
      </w:pPr>
      <w:r>
        <w:rPr>
          <w:sz w:val="24"/>
        </w:rPr>
        <w:t>5</w:t>
      </w:r>
      <w:r>
        <w:rPr>
          <w:rFonts w:hint="eastAsia"/>
          <w:sz w:val="24"/>
        </w:rPr>
        <w:t>．1自开标日起</w:t>
      </w:r>
      <w:r>
        <w:rPr>
          <w:rFonts w:hint="eastAsia"/>
          <w:b/>
          <w:bCs/>
          <w:sz w:val="24"/>
        </w:rPr>
        <w:t>90</w:t>
      </w:r>
      <w:r>
        <w:rPr>
          <w:rFonts w:hint="eastAsia"/>
          <w:sz w:val="24"/>
        </w:rPr>
        <w:t>天内，投标文件应保持有效。有效期短于这个规定期限的投标，将被拒绝。</w:t>
      </w:r>
    </w:p>
    <w:p>
      <w:pPr>
        <w:pStyle w:val="11"/>
        <w:spacing w:line="360" w:lineRule="auto"/>
        <w:ind w:firstLine="480" w:firstLineChars="200"/>
        <w:rPr>
          <w:sz w:val="24"/>
        </w:rPr>
      </w:pPr>
      <w:r>
        <w:rPr>
          <w:sz w:val="24"/>
        </w:rPr>
        <w:t>5</w:t>
      </w:r>
      <w:r>
        <w:rPr>
          <w:rFonts w:hint="eastAsia"/>
          <w:sz w:val="24"/>
        </w:rPr>
        <w:t>．2在特殊情况下，采购代理机构可与供应商协商延长投标书的有效期。这种要求和答复都应以书面、传真的形式进行。</w:t>
      </w:r>
    </w:p>
    <w:p>
      <w:pPr>
        <w:pStyle w:val="11"/>
        <w:spacing w:line="360" w:lineRule="auto"/>
        <w:ind w:firstLine="482" w:firstLineChars="200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>
        <w:rPr>
          <w:rFonts w:hint="eastAsia"/>
          <w:b/>
          <w:sz w:val="24"/>
          <w:szCs w:val="24"/>
        </w:rPr>
        <w:t>．投标文件的签署及规定</w:t>
      </w:r>
    </w:p>
    <w:p>
      <w:pPr>
        <w:pStyle w:val="11"/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>
        <w:rPr>
          <w:sz w:val="24"/>
          <w:szCs w:val="24"/>
        </w:rPr>
        <w:t>6</w:t>
      </w:r>
      <w:r>
        <w:rPr>
          <w:rFonts w:hint="eastAsia"/>
          <w:sz w:val="24"/>
          <w:szCs w:val="24"/>
        </w:rPr>
        <w:t>．1组成投标文件的各项资料均应遵守本条。</w:t>
      </w:r>
    </w:p>
    <w:p>
      <w:pPr>
        <w:pStyle w:val="11"/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>
        <w:rPr>
          <w:sz w:val="24"/>
          <w:szCs w:val="24"/>
        </w:rPr>
        <w:t>6</w:t>
      </w:r>
      <w:r>
        <w:rPr>
          <w:rFonts w:hint="eastAsia"/>
          <w:sz w:val="24"/>
          <w:szCs w:val="24"/>
        </w:rPr>
        <w:t>．2供应商应填写全称，同时加盖印章。</w:t>
      </w:r>
    </w:p>
    <w:p>
      <w:pPr>
        <w:pStyle w:val="11"/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>
        <w:rPr>
          <w:sz w:val="24"/>
          <w:szCs w:val="24"/>
        </w:rPr>
        <w:t>6</w:t>
      </w:r>
      <w:r>
        <w:rPr>
          <w:rFonts w:hint="eastAsia"/>
          <w:sz w:val="24"/>
          <w:szCs w:val="24"/>
        </w:rPr>
        <w:t>．3投标文件必须由全权代表签署。</w:t>
      </w:r>
    </w:p>
    <w:p>
      <w:pPr>
        <w:pStyle w:val="11"/>
        <w:spacing w:line="360" w:lineRule="auto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  <w:lang w:val="en-US" w:eastAsia="zh-CN"/>
        </w:rPr>
        <w:t xml:space="preserve">    </w:t>
      </w:r>
      <w:r>
        <w:rPr>
          <w:rFonts w:hint="eastAsia"/>
          <w:b/>
          <w:sz w:val="24"/>
          <w:szCs w:val="24"/>
        </w:rPr>
        <w:t>6．4 投标文件一式七份。其中正本一份，副本六份。如果副本与正本不符，以正本为准。</w:t>
      </w:r>
    </w:p>
    <w:p>
      <w:pPr>
        <w:pStyle w:val="11"/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>6</w:t>
      </w:r>
      <w:r>
        <w:rPr>
          <w:rFonts w:hint="eastAsia"/>
          <w:b/>
          <w:sz w:val="24"/>
          <w:szCs w:val="24"/>
        </w:rPr>
        <w:t>．</w:t>
      </w:r>
      <w:bookmarkStart w:id="3" w:name="OLE_LINK2"/>
      <w:r>
        <w:rPr>
          <w:rFonts w:hint="eastAsia"/>
          <w:b/>
          <w:sz w:val="24"/>
          <w:szCs w:val="24"/>
        </w:rPr>
        <w:t>5投标文件应采用A4纸，黑色字迹打印，须胶装成册，不得出现散页、重页、掉页现象，不得采用活页夹，并分别注明“正本”、“副本”字样。</w:t>
      </w:r>
      <w:bookmarkEnd w:id="3"/>
      <w:r>
        <w:rPr>
          <w:rFonts w:hint="eastAsia"/>
          <w:b/>
          <w:sz w:val="24"/>
          <w:szCs w:val="24"/>
        </w:rPr>
        <w:t>（副本可以用复印件，但封面不得用复印件，注明“副本</w:t>
      </w:r>
      <w:r>
        <w:rPr>
          <w:b/>
          <w:sz w:val="24"/>
          <w:szCs w:val="24"/>
        </w:rPr>
        <w:t>”</w:t>
      </w:r>
      <w:r>
        <w:rPr>
          <w:rFonts w:hint="eastAsia"/>
          <w:b/>
          <w:sz w:val="24"/>
          <w:szCs w:val="24"/>
        </w:rPr>
        <w:t>字样）如未按规定胶装，其投标文件按无效标处理。</w:t>
      </w:r>
    </w:p>
    <w:p>
      <w:pPr>
        <w:pStyle w:val="11"/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>
        <w:rPr>
          <w:sz w:val="24"/>
          <w:szCs w:val="24"/>
        </w:rPr>
        <w:t>6</w:t>
      </w:r>
      <w:r>
        <w:rPr>
          <w:rFonts w:hint="eastAsia"/>
          <w:sz w:val="24"/>
          <w:szCs w:val="24"/>
        </w:rPr>
        <w:t>．6投标文件不得涂改和增删，如有修改错漏处，必须由同一签署人签字或盖章。</w:t>
      </w:r>
    </w:p>
    <w:p>
      <w:pPr>
        <w:pStyle w:val="11"/>
        <w:spacing w:line="360" w:lineRule="auto"/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6</w:t>
      </w:r>
      <w:r>
        <w:rPr>
          <w:rFonts w:hint="eastAsia"/>
          <w:sz w:val="24"/>
          <w:szCs w:val="24"/>
        </w:rPr>
        <w:t>．7投标文件因字迹潦草或表达不清所引起的后果由供应商负责。</w:t>
      </w:r>
    </w:p>
    <w:p>
      <w:pPr>
        <w:pStyle w:val="11"/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D</w:t>
      </w:r>
      <w:r>
        <w:rPr>
          <w:rFonts w:hint="eastAsia"/>
          <w:b/>
          <w:sz w:val="24"/>
        </w:rPr>
        <w:t xml:space="preserve">  投标文件的递交</w:t>
      </w:r>
    </w:p>
    <w:p>
      <w:pPr>
        <w:pStyle w:val="11"/>
        <w:spacing w:line="360" w:lineRule="auto"/>
        <w:ind w:firstLine="482" w:firstLineChars="200"/>
        <w:rPr>
          <w:sz w:val="24"/>
        </w:rPr>
      </w:pPr>
      <w:r>
        <w:rPr>
          <w:b/>
          <w:sz w:val="24"/>
        </w:rPr>
        <w:t>1</w:t>
      </w:r>
      <w:r>
        <w:rPr>
          <w:rFonts w:hint="eastAsia"/>
          <w:b/>
          <w:sz w:val="24"/>
        </w:rPr>
        <w:t>．投标文件的密封及标记</w:t>
      </w:r>
    </w:p>
    <w:p>
      <w:pPr>
        <w:pStyle w:val="11"/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1．1投标文件应按以下方法装袋密封；</w:t>
      </w:r>
    </w:p>
    <w:p>
      <w:pPr>
        <w:pStyle w:val="11"/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  1．2投标文件密封装袋，封口处应有全权代表的签章和供应商公章。</w:t>
      </w:r>
    </w:p>
    <w:p>
      <w:pPr>
        <w:pStyle w:val="11"/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  1．3如果供应商未按要求密封，造成对投标文件的误投和提前启封，责任由供应商自负。</w:t>
      </w:r>
    </w:p>
    <w:p>
      <w:pPr>
        <w:pStyle w:val="11"/>
        <w:spacing w:line="360" w:lineRule="auto"/>
        <w:ind w:firstLine="482" w:firstLineChars="200"/>
        <w:rPr>
          <w:b/>
          <w:sz w:val="24"/>
        </w:rPr>
      </w:pPr>
      <w:r>
        <w:rPr>
          <w:b/>
          <w:bCs/>
          <w:sz w:val="24"/>
        </w:rPr>
        <w:t>2</w:t>
      </w:r>
      <w:r>
        <w:rPr>
          <w:rFonts w:hint="eastAsia"/>
          <w:b/>
          <w:bCs/>
          <w:sz w:val="24"/>
        </w:rPr>
        <w:t>．</w:t>
      </w:r>
      <w:r>
        <w:rPr>
          <w:rFonts w:hint="eastAsia"/>
          <w:b/>
          <w:sz w:val="24"/>
        </w:rPr>
        <w:t>投标截止时间</w:t>
      </w:r>
    </w:p>
    <w:p>
      <w:pPr>
        <w:pStyle w:val="11"/>
        <w:spacing w:line="360" w:lineRule="auto"/>
        <w:ind w:firstLine="480" w:firstLineChars="200"/>
        <w:rPr>
          <w:sz w:val="24"/>
        </w:rPr>
      </w:pPr>
      <w:r>
        <w:rPr>
          <w:sz w:val="24"/>
        </w:rPr>
        <w:t>2</w:t>
      </w:r>
      <w:r>
        <w:rPr>
          <w:rFonts w:hint="eastAsia"/>
          <w:sz w:val="24"/>
        </w:rPr>
        <w:t xml:space="preserve">．1投标文件必须在投标截止时间前送达开标地点。 </w:t>
      </w:r>
    </w:p>
    <w:p>
      <w:pPr>
        <w:pStyle w:val="11"/>
        <w:spacing w:line="360" w:lineRule="auto"/>
        <w:ind w:firstLine="480" w:firstLineChars="200"/>
        <w:rPr>
          <w:sz w:val="24"/>
        </w:rPr>
      </w:pPr>
      <w:r>
        <w:rPr>
          <w:sz w:val="24"/>
        </w:rPr>
        <w:t>2</w:t>
      </w:r>
      <w:r>
        <w:rPr>
          <w:rFonts w:hint="eastAsia"/>
          <w:sz w:val="24"/>
        </w:rPr>
        <w:t>．2在投标截止时间以后送达的投标文件</w:t>
      </w:r>
      <w:r>
        <w:rPr>
          <w:rFonts w:hint="eastAsia"/>
          <w:sz w:val="24"/>
          <w:lang w:eastAsia="zh-CN"/>
        </w:rPr>
        <w:t>，采购人拒绝接收</w:t>
      </w:r>
      <w:r>
        <w:rPr>
          <w:rFonts w:hint="eastAsia"/>
          <w:sz w:val="24"/>
        </w:rPr>
        <w:t>。</w:t>
      </w:r>
    </w:p>
    <w:p>
      <w:pPr>
        <w:pStyle w:val="11"/>
        <w:spacing w:line="360" w:lineRule="auto"/>
        <w:ind w:firstLine="480" w:firstLineChars="200"/>
        <w:rPr>
          <w:sz w:val="24"/>
        </w:rPr>
      </w:pPr>
    </w:p>
    <w:p>
      <w:pPr>
        <w:pStyle w:val="11"/>
        <w:spacing w:line="360" w:lineRule="auto"/>
        <w:ind w:firstLine="480" w:firstLineChars="200"/>
        <w:rPr>
          <w:sz w:val="24"/>
        </w:rPr>
      </w:pPr>
    </w:p>
    <w:p>
      <w:pPr>
        <w:pStyle w:val="11"/>
        <w:spacing w:line="360" w:lineRule="auto"/>
        <w:ind w:firstLine="480" w:firstLineChars="200"/>
        <w:rPr>
          <w:sz w:val="24"/>
        </w:rPr>
      </w:pPr>
    </w:p>
    <w:p>
      <w:pPr>
        <w:pStyle w:val="11"/>
        <w:spacing w:line="360" w:lineRule="auto"/>
        <w:ind w:firstLine="480" w:firstLineChars="200"/>
        <w:rPr>
          <w:sz w:val="24"/>
        </w:rPr>
      </w:pPr>
    </w:p>
    <w:p>
      <w:pPr>
        <w:pStyle w:val="11"/>
        <w:spacing w:line="360" w:lineRule="auto"/>
        <w:ind w:firstLine="480" w:firstLineChars="200"/>
        <w:rPr>
          <w:sz w:val="24"/>
        </w:rPr>
      </w:pPr>
    </w:p>
    <w:p>
      <w:pPr>
        <w:pStyle w:val="11"/>
        <w:spacing w:line="360" w:lineRule="auto"/>
        <w:ind w:firstLine="480" w:firstLineChars="200"/>
        <w:rPr>
          <w:sz w:val="24"/>
        </w:rPr>
      </w:pPr>
    </w:p>
    <w:p>
      <w:pPr>
        <w:pStyle w:val="11"/>
        <w:spacing w:line="360" w:lineRule="auto"/>
        <w:ind w:firstLine="480" w:firstLineChars="200"/>
        <w:rPr>
          <w:sz w:val="24"/>
        </w:rPr>
      </w:pPr>
    </w:p>
    <w:p>
      <w:pPr>
        <w:pStyle w:val="11"/>
        <w:spacing w:line="360" w:lineRule="auto"/>
        <w:ind w:firstLine="480" w:firstLineChars="200"/>
        <w:rPr>
          <w:sz w:val="24"/>
        </w:rPr>
      </w:pPr>
    </w:p>
    <w:p>
      <w:pPr>
        <w:pStyle w:val="11"/>
        <w:spacing w:line="360" w:lineRule="auto"/>
        <w:ind w:firstLine="480" w:firstLineChars="200"/>
        <w:rPr>
          <w:sz w:val="24"/>
        </w:rPr>
      </w:pPr>
    </w:p>
    <w:p>
      <w:pPr>
        <w:pStyle w:val="11"/>
        <w:spacing w:line="360" w:lineRule="auto"/>
        <w:ind w:firstLine="480" w:firstLineChars="200"/>
        <w:rPr>
          <w:sz w:val="24"/>
        </w:rPr>
      </w:pPr>
    </w:p>
    <w:p>
      <w:pPr>
        <w:tabs>
          <w:tab w:val="left" w:pos="720"/>
          <w:tab w:val="left" w:pos="900"/>
        </w:tabs>
        <w:adjustRightInd w:val="0"/>
        <w:snapToGrid w:val="0"/>
        <w:spacing w:line="360" w:lineRule="auto"/>
      </w:pPr>
    </w:p>
    <w:sectPr>
      <w:headerReference r:id="rId4" w:type="first"/>
      <w:footerReference r:id="rId7" w:type="first"/>
      <w:headerReference r:id="rId3" w:type="default"/>
      <w:footerReference r:id="rId5" w:type="default"/>
      <w:footerReference r:id="rId6" w:type="even"/>
      <w:pgSz w:w="11906" w:h="16838"/>
      <w:pgMar w:top="1247" w:right="1134" w:bottom="1247" w:left="1440" w:header="851" w:footer="992" w:gutter="0"/>
      <w:cols w:space="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DFKai-SB">
    <w:panose1 w:val="03000509000000000000"/>
    <w:charset w:val="88"/>
    <w:family w:val="script"/>
    <w:pitch w:val="default"/>
    <w:sig w:usb0="00000003" w:usb1="082E0000" w:usb2="00000016" w:usb3="00000000" w:csb0="0010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5"/>
        <w:szCs w:val="18"/>
      </w:rPr>
    </w:pPr>
  </w:p>
  <w:p>
    <w:pPr>
      <w:pStyle w:val="7"/>
      <w:pBdr>
        <w:top w:val="none" w:color="auto" w:sz="0" w:space="1"/>
      </w:pBdr>
      <w:jc w:val="center"/>
    </w:pPr>
    <w:r>
      <w:rPr>
        <w:rFonts w:hint="eastAsia"/>
      </w:rPr>
      <w:t>第</w:t>
    </w:r>
    <w:r>
      <w:fldChar w:fldCharType="begin"/>
    </w:r>
    <w:r>
      <w:rPr>
        <w:rStyle w:val="15"/>
      </w:rPr>
      <w:instrText xml:space="preserve"> PAGE </w:instrText>
    </w:r>
    <w:r>
      <w:fldChar w:fldCharType="separate"/>
    </w:r>
    <w:r>
      <w:rPr>
        <w:rStyle w:val="15"/>
      </w:rPr>
      <w:t>3</w:t>
    </w:r>
    <w:r>
      <w:fldChar w:fldCharType="end"/>
    </w:r>
    <w:r>
      <w:rPr>
        <w:rFonts w:hint="eastAsia"/>
      </w:rPr>
      <w:t>页</w:t>
    </w:r>
  </w:p>
  <w:p>
    <w:pPr>
      <w:pStyle w:val="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5"/>
      </w:rPr>
    </w:pPr>
    <w:r>
      <w:fldChar w:fldCharType="begin"/>
    </w:r>
    <w:r>
      <w:rPr>
        <w:rStyle w:val="15"/>
      </w:rPr>
      <w:instrText xml:space="preserve">PAGE  </w:instrText>
    </w:r>
    <w:r>
      <w:fldChar w:fldCharType="separate"/>
    </w:r>
    <w:r>
      <w:rPr>
        <w:rStyle w:val="15"/>
      </w:rPr>
      <w:t>1</w:t>
    </w:r>
    <w:r>
      <w:fldChar w:fldCharType="end"/>
    </w:r>
  </w:p>
  <w:p>
    <w:pPr>
      <w:pStyle w:val="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w:fldChar w:fldCharType="begin"/>
    </w:r>
    <w:r>
      <w:rPr>
        <w:rStyle w:val="15"/>
      </w:rPr>
      <w:instrText xml:space="preserve"> PAGE </w:instrText>
    </w:r>
    <w:r>
      <w:fldChar w:fldCharType="separate"/>
    </w:r>
    <w:r>
      <w:rPr>
        <w:rStyle w:val="15"/>
      </w:rPr>
      <w:t>1</w:t>
    </w:r>
    <w: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both"/>
      <w:rPr>
        <w:rFonts w:ascii="宋体" w:cs="仿宋_GB2312"/>
        <w:iCs/>
        <w:kern w:val="0"/>
        <w:szCs w:val="21"/>
      </w:rPr>
    </w:pPr>
    <w:r>
      <w:rPr>
        <w:rFonts w:hint="eastAsia" w:ascii="宋体" w:hAnsi="宋体"/>
        <w:szCs w:val="21"/>
        <w:shd w:val="clear" w:color="auto" w:fill="FFFFFF"/>
      </w:rPr>
      <w:t>北京大学首钢医院住院楼泵房设备采购及安装调试项目-</w:t>
    </w:r>
    <w:r>
      <w:rPr>
        <w:rFonts w:hint="eastAsia" w:ascii="宋体" w:hAnsi="宋体" w:cs="仿宋_GB2312"/>
        <w:iCs/>
        <w:kern w:val="0"/>
        <w:szCs w:val="21"/>
      </w:rPr>
      <w:t>招标文件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B0A"/>
    <w:rsid w:val="000D0719"/>
    <w:rsid w:val="002B1DDA"/>
    <w:rsid w:val="00495D73"/>
    <w:rsid w:val="008C17E4"/>
    <w:rsid w:val="00A53DC2"/>
    <w:rsid w:val="00A9338A"/>
    <w:rsid w:val="00C80333"/>
    <w:rsid w:val="00D41B0A"/>
    <w:rsid w:val="00DE6FB8"/>
    <w:rsid w:val="00FB0F54"/>
    <w:rsid w:val="1410067C"/>
    <w:rsid w:val="1A9702BD"/>
    <w:rsid w:val="262A2015"/>
    <w:rsid w:val="400560FC"/>
    <w:rsid w:val="43526B69"/>
    <w:rsid w:val="472C0CDF"/>
    <w:rsid w:val="49E90074"/>
    <w:rsid w:val="68EA0240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spacing w:line="240" w:lineRule="atLeast"/>
      <w:jc w:val="center"/>
      <w:outlineLvl w:val="0"/>
    </w:pPr>
    <w:rPr>
      <w:rFonts w:ascii="宋体"/>
      <w:b/>
      <w:sz w:val="32"/>
      <w:szCs w:val="20"/>
    </w:rPr>
  </w:style>
  <w:style w:type="paragraph" w:styleId="4">
    <w:name w:val="heading 3"/>
    <w:basedOn w:val="1"/>
    <w:next w:val="1"/>
    <w:qFormat/>
    <w:uiPriority w:val="0"/>
    <w:pPr>
      <w:keepNext/>
      <w:keepLines/>
      <w:widowControl/>
      <w:spacing w:before="260" w:after="260" w:line="415" w:lineRule="auto"/>
      <w:jc w:val="left"/>
      <w:outlineLvl w:val="2"/>
    </w:pPr>
    <w:rPr>
      <w:b/>
      <w:kern w:val="0"/>
      <w:sz w:val="32"/>
      <w:szCs w:val="20"/>
    </w:rPr>
  </w:style>
  <w:style w:type="character" w:default="1" w:styleId="14">
    <w:name w:val="Default Paragraph Font"/>
    <w:unhideWhenUsed/>
    <w:qFormat/>
    <w:uiPriority w:val="1"/>
  </w:style>
  <w:style w:type="table" w:default="1" w:styleId="2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1"/>
    <w:basedOn w:val="1"/>
    <w:qFormat/>
    <w:uiPriority w:val="99"/>
    <w:pPr>
      <w:ind w:firstLine="420" w:firstLineChars="200"/>
    </w:pPr>
  </w:style>
  <w:style w:type="paragraph" w:styleId="5">
    <w:name w:val="Plain Text"/>
    <w:basedOn w:val="1"/>
    <w:qFormat/>
    <w:uiPriority w:val="0"/>
    <w:rPr>
      <w:rFonts w:ascii="宋体" w:hAnsi="Courier New"/>
      <w:szCs w:val="20"/>
    </w:rPr>
  </w:style>
  <w:style w:type="paragraph" w:styleId="6">
    <w:name w:val="Balloon Text"/>
    <w:basedOn w:val="1"/>
    <w:link w:val="32"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toc 1"/>
    <w:basedOn w:val="1"/>
    <w:next w:val="1"/>
    <w:qFormat/>
    <w:uiPriority w:val="0"/>
    <w:pPr>
      <w:tabs>
        <w:tab w:val="right" w:leader="dot" w:pos="9175"/>
      </w:tabs>
      <w:spacing w:line="720" w:lineRule="exact"/>
    </w:pPr>
  </w:style>
  <w:style w:type="paragraph" w:styleId="10">
    <w:name w:val="footnote text"/>
    <w:basedOn w:val="1"/>
    <w:qFormat/>
    <w:uiPriority w:val="0"/>
    <w:pPr>
      <w:snapToGrid w:val="0"/>
      <w:jc w:val="left"/>
    </w:pPr>
    <w:rPr>
      <w:sz w:val="18"/>
      <w:szCs w:val="18"/>
    </w:rPr>
  </w:style>
  <w:style w:type="paragraph" w:styleId="11">
    <w:name w:val="Body Text 2"/>
    <w:basedOn w:val="1"/>
    <w:qFormat/>
    <w:uiPriority w:val="0"/>
    <w:pPr>
      <w:adjustRightInd w:val="0"/>
      <w:snapToGrid w:val="0"/>
      <w:spacing w:line="480" w:lineRule="atLeast"/>
    </w:pPr>
    <w:rPr>
      <w:rFonts w:ascii="宋体" w:hAnsi="宋体"/>
      <w:sz w:val="28"/>
      <w:szCs w:val="20"/>
    </w:rPr>
  </w:style>
  <w:style w:type="paragraph" w:styleId="12">
    <w:name w:val="Message Header"/>
    <w:basedOn w:val="1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800" w:leftChars="400" w:hanging="400" w:hangingChars="400"/>
      <w:jc w:val="left"/>
    </w:pPr>
    <w:rPr>
      <w:rFonts w:ascii="Arial" w:hAnsi="Arial" w:eastAsia="DFKai-SB"/>
      <w:sz w:val="24"/>
      <w:shd w:val="pct20" w:color="auto" w:fill="auto"/>
      <w:lang w:eastAsia="zh-TW"/>
    </w:rPr>
  </w:style>
  <w:style w:type="paragraph" w:styleId="13">
    <w:name w:val="Normal (Web)"/>
    <w:basedOn w:val="1"/>
    <w:qFormat/>
    <w:uiPriority w:val="0"/>
    <w:pPr>
      <w:widowControl/>
      <w:spacing w:line="360" w:lineRule="atLeast"/>
      <w:jc w:val="left"/>
    </w:pPr>
    <w:rPr>
      <w:rFonts w:ascii="宋体" w:hAnsi="宋体"/>
      <w:kern w:val="0"/>
      <w:sz w:val="24"/>
    </w:rPr>
  </w:style>
  <w:style w:type="character" w:styleId="15">
    <w:name w:val="page number"/>
    <w:basedOn w:val="14"/>
    <w:qFormat/>
    <w:uiPriority w:val="0"/>
  </w:style>
  <w:style w:type="character" w:styleId="16">
    <w:name w:val="FollowedHyperlink"/>
    <w:basedOn w:val="14"/>
    <w:qFormat/>
    <w:uiPriority w:val="0"/>
    <w:rPr>
      <w:color w:val="CC0000"/>
      <w:u w:val="single"/>
    </w:rPr>
  </w:style>
  <w:style w:type="character" w:styleId="17">
    <w:name w:val="Emphasis"/>
    <w:basedOn w:val="14"/>
    <w:qFormat/>
    <w:uiPriority w:val="0"/>
  </w:style>
  <w:style w:type="character" w:styleId="18">
    <w:name w:val="Hyperlink"/>
    <w:basedOn w:val="14"/>
    <w:qFormat/>
    <w:uiPriority w:val="0"/>
    <w:rPr>
      <w:rFonts w:eastAsia="仿宋_GB2312"/>
      <w:color w:val="0000FF"/>
      <w:sz w:val="28"/>
      <w:szCs w:val="24"/>
      <w:u w:val="single"/>
    </w:rPr>
  </w:style>
  <w:style w:type="character" w:styleId="19">
    <w:name w:val="footnote reference"/>
    <w:qFormat/>
    <w:uiPriority w:val="0"/>
    <w:rPr>
      <w:vertAlign w:val="superscript"/>
    </w:rPr>
  </w:style>
  <w:style w:type="table" w:styleId="21">
    <w:name w:val="Table Grid"/>
    <w:basedOn w:val="20"/>
    <w:qFormat/>
    <w:uiPriority w:val="0"/>
    <w:rPr>
      <w:rFonts w:ascii="Calibri" w:hAnsi="Calibri" w:eastAsia="微软雅黑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22">
    <w:name w:val="列出段落111"/>
    <w:basedOn w:val="1"/>
    <w:qFormat/>
    <w:uiPriority w:val="34"/>
    <w:pPr>
      <w:ind w:firstLine="420" w:firstLineChars="200"/>
    </w:pPr>
    <w:rPr>
      <w:szCs w:val="22"/>
    </w:rPr>
  </w:style>
  <w:style w:type="paragraph" w:customStyle="1" w:styleId="23">
    <w:name w:val="_Style 7"/>
    <w:basedOn w:val="1"/>
    <w:qFormat/>
    <w:uiPriority w:val="99"/>
    <w:pPr>
      <w:ind w:firstLine="420" w:firstLineChars="200"/>
    </w:pPr>
    <w:rPr>
      <w:rFonts w:cs="Calibri"/>
      <w:szCs w:val="21"/>
    </w:rPr>
  </w:style>
  <w:style w:type="character" w:customStyle="1" w:styleId="24">
    <w:name w:val="font61"/>
    <w:basedOn w:val="14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  <w:style w:type="character" w:customStyle="1" w:styleId="25">
    <w:name w:val="font41"/>
    <w:basedOn w:val="14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paragraph" w:customStyle="1" w:styleId="26">
    <w:name w:val="列出段落11"/>
    <w:basedOn w:val="1"/>
    <w:qFormat/>
    <w:uiPriority w:val="0"/>
    <w:pPr>
      <w:ind w:firstLine="420" w:firstLineChars="200"/>
    </w:pPr>
    <w:rPr>
      <w:szCs w:val="22"/>
    </w:rPr>
  </w:style>
  <w:style w:type="paragraph" w:customStyle="1" w:styleId="27">
    <w:name w:val="列出段落2"/>
    <w:basedOn w:val="1"/>
    <w:qFormat/>
    <w:uiPriority w:val="0"/>
    <w:pPr>
      <w:ind w:firstLine="420" w:firstLineChars="200"/>
    </w:pPr>
    <w:rPr>
      <w:szCs w:val="20"/>
    </w:rPr>
  </w:style>
  <w:style w:type="paragraph" w:customStyle="1" w:styleId="28">
    <w:name w:val="中等深浅网格 1 - 强调文字颜色 21"/>
    <w:basedOn w:val="1"/>
    <w:qFormat/>
    <w:uiPriority w:val="0"/>
    <w:pPr>
      <w:spacing w:line="500" w:lineRule="exact"/>
      <w:ind w:firstLine="420" w:firstLineChars="200"/>
    </w:pPr>
    <w:rPr>
      <w:kern w:val="0"/>
    </w:rPr>
  </w:style>
  <w:style w:type="paragraph" w:customStyle="1" w:styleId="29">
    <w:name w:val="投标文件正文"/>
    <w:basedOn w:val="1"/>
    <w:qFormat/>
    <w:uiPriority w:val="0"/>
    <w:pPr>
      <w:spacing w:line="400" w:lineRule="exact"/>
      <w:ind w:firstLine="480" w:firstLineChars="200"/>
    </w:pPr>
    <w:rPr>
      <w:rFonts w:ascii="Arial" w:hAnsi="Arial"/>
      <w:sz w:val="24"/>
    </w:rPr>
  </w:style>
  <w:style w:type="paragraph" w:customStyle="1" w:styleId="30">
    <w:name w:val="中等深浅网格 1 - 着色 21"/>
    <w:basedOn w:val="1"/>
    <w:qFormat/>
    <w:uiPriority w:val="0"/>
    <w:pPr>
      <w:spacing w:line="500" w:lineRule="exact"/>
      <w:ind w:firstLine="420" w:firstLineChars="200"/>
    </w:pPr>
    <w:rPr>
      <w:kern w:val="0"/>
    </w:rPr>
  </w:style>
  <w:style w:type="character" w:customStyle="1" w:styleId="31">
    <w:name w:val="apple-converted-space"/>
    <w:basedOn w:val="14"/>
    <w:qFormat/>
    <w:uiPriority w:val="0"/>
  </w:style>
  <w:style w:type="character" w:customStyle="1" w:styleId="32">
    <w:name w:val="批注框文本 字符"/>
    <w:basedOn w:val="14"/>
    <w:link w:val="6"/>
    <w:qFormat/>
    <w:uiPriority w:val="0"/>
    <w:rPr>
      <w:rFonts w:ascii="Calibri" w:hAnsi="Calibri" w:eastAsia="宋体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6D154AD-16AA-4849-9261-95FE1E52CD9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20</Pages>
  <Words>1922</Words>
  <Characters>10958</Characters>
  <Lines>91</Lines>
  <Paragraphs>25</Paragraphs>
  <ScaleCrop>false</ScaleCrop>
  <LinksUpToDate>false</LinksUpToDate>
  <CharactersWithSpaces>12855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李苏</cp:lastModifiedBy>
  <cp:lastPrinted>2018-08-15T01:12:00Z</cp:lastPrinted>
  <dcterms:modified xsi:type="dcterms:W3CDTF">2019-06-27T01:29:48Z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